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eastAsia="Calibri"/>
          <w:szCs w:val="22"/>
          <w:lang w:eastAsia="en-US"/>
        </w:rPr>
      </w:pPr>
      <w:r>
        <w:rPr/>
        <w:drawing>
          <wp:inline distT="0" distB="0" distL="0" distR="0">
            <wp:extent cx="651510" cy="1075055"/>
            <wp:effectExtent l="0" t="0" r="0" b="0"/>
            <wp:docPr id="1" name="Рисунок 2" descr="C:\Users\Орг1\Desktop\герб\герб_ч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C:\Users\Орг1\Desktop\герб\герб_чб.pn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" cy="1075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tabs>
          <w:tab w:val="clear" w:pos="708"/>
          <w:tab w:val="left" w:pos="1134" w:leader="none"/>
        </w:tabs>
        <w:spacing w:before="120" w:after="0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КЕМЕРОВСКАЯ ОБЛАСТЬ-КУЗБАСС</w:t>
      </w:r>
    </w:p>
    <w:p>
      <w:pPr>
        <w:pStyle w:val="Normal"/>
        <w:jc w:val="center"/>
        <w:rPr>
          <w:rFonts w:ascii="Times New Roman" w:hAnsi="Times New Roman"/>
          <w:caps/>
          <w:color w:val="000000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НОВОКУЗНЕЦКИЙ ГОРОДСКОЙ ОКРУГ</w:t>
      </w:r>
    </w:p>
    <w:p>
      <w:pPr>
        <w:pStyle w:val="Normal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АДМИНИСТРАЦИЯ ГОРОДА НОВОКУЗНЕЦКА</w:t>
      </w:r>
    </w:p>
    <w:p>
      <w:pPr>
        <w:pStyle w:val="Normal"/>
        <w:pBdr>
          <w:bottom w:val="double" w:sz="4" w:space="13" w:color="000000"/>
        </w:pBdr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ПОСТАНОВЛЕНИЕ  </w:t>
      </w:r>
    </w:p>
    <w:p>
      <w:pPr>
        <w:pStyle w:val="Normal"/>
        <w:spacing w:before="240" w:after="0"/>
        <w:jc w:val="both"/>
        <w:rPr>
          <w:rFonts w:ascii="Times New Roman" w:hAnsi="Times New Roman" w:eastAsia="Calibri"/>
          <w:sz w:val="28"/>
          <w:szCs w:val="28"/>
          <w:u w:val="single"/>
          <w:lang w:eastAsia="en-US"/>
        </w:rPr>
      </w:pPr>
      <w:r>
        <w:rPr>
          <w:rFonts w:eastAsia="Calibri" w:ascii="Times New Roman" w:hAnsi="Times New Roman"/>
          <w:sz w:val="28"/>
          <w:szCs w:val="28"/>
          <w:lang w:eastAsia="en-US"/>
        </w:rPr>
        <w:t>от ____________  №_____</w:t>
      </w:r>
      <w:r>
        <w:rPr>
          <w:rFonts w:eastAsia="Calibri" w:ascii="Times New Roman" w:hAnsi="Times New Roman"/>
          <w:sz w:val="28"/>
          <w:szCs w:val="28"/>
          <w:u w:val="single"/>
          <w:lang w:eastAsia="en-US"/>
        </w:rPr>
        <w:t xml:space="preserve">             </w:t>
      </w:r>
    </w:p>
    <w:p>
      <w:pPr>
        <w:pStyle w:val="NormalWeb"/>
        <w:spacing w:beforeAutospacing="0" w:before="0" w:afterAutospacing="0"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</w:r>
    </w:p>
    <w:p>
      <w:pPr>
        <w:pStyle w:val="NormalWeb"/>
        <w:spacing w:beforeAutospacing="0" w:before="0" w:afterAutospacing="0"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Об установлении границ прилегающих </w:t>
      </w:r>
    </w:p>
    <w:p>
      <w:pPr>
        <w:pStyle w:val="NormalWeb"/>
        <w:spacing w:beforeAutospacing="0" w:before="0" w:afterAutospacing="0"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территорий, на которых запрещается </w:t>
      </w:r>
    </w:p>
    <w:p>
      <w:pPr>
        <w:pStyle w:val="NormalWeb"/>
        <w:spacing w:beforeAutospacing="0" w:before="0" w:afterAutospacing="0"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розничная торговля табачной</w:t>
      </w:r>
    </w:p>
    <w:p>
      <w:pPr>
        <w:pStyle w:val="NormalWeb"/>
        <w:spacing w:beforeAutospacing="0" w:before="0" w:afterAutospacing="0"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продукцией или никотинсодержащей</w:t>
      </w:r>
    </w:p>
    <w:p>
      <w:pPr>
        <w:pStyle w:val="NormalWeb"/>
        <w:spacing w:beforeAutospacing="0" w:before="0" w:afterAutospacing="0"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продукцией, кальянами и устройствами</w:t>
      </w:r>
    </w:p>
    <w:p>
      <w:pPr>
        <w:pStyle w:val="NormalWeb"/>
        <w:spacing w:beforeAutospacing="0" w:before="0" w:afterAutospacing="0"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для потребления никотинсодержащей</w:t>
      </w:r>
    </w:p>
    <w:p>
      <w:pPr>
        <w:pStyle w:val="NormalWeb"/>
        <w:spacing w:beforeAutospacing="0" w:before="0" w:afterAutospacing="0"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продукции, на территории Новокузнецкого</w:t>
      </w:r>
    </w:p>
    <w:p>
      <w:pPr>
        <w:pStyle w:val="NormalWeb"/>
        <w:spacing w:beforeAutospacing="0" w:before="0" w:afterAutospacing="0"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городского округа  </w:t>
      </w:r>
    </w:p>
    <w:p>
      <w:pPr>
        <w:pStyle w:val="ConsPlusTitle"/>
        <w:jc w:val="both"/>
        <w:rPr>
          <w:rFonts w:ascii="Times New Roman" w:hAnsi="Times New Roman" w:cs="Times New Roman"/>
          <w:b w:val="false"/>
          <w:color w:val="000000"/>
          <w:sz w:val="28"/>
          <w:szCs w:val="28"/>
        </w:rPr>
      </w:pPr>
      <w:r>
        <w:rPr>
          <w:rFonts w:cs="Times New Roman" w:ascii="Times New Roman" w:hAnsi="Times New Roman"/>
          <w:b w:val="false"/>
          <w:color w:val="000000"/>
          <w:sz w:val="28"/>
          <w:szCs w:val="28"/>
        </w:rPr>
      </w:r>
    </w:p>
    <w:p>
      <w:pPr>
        <w:pStyle w:val="Normal"/>
        <w:overflowPunct w:val="false"/>
        <w:ind w:firstLine="709"/>
        <w:jc w:val="both"/>
        <w:textAlignment w:val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соответствии со статьей 16 Федерального закона от 06.10.2003 №131-ФЗ «Об общих принципах организации местного самоуправления в Российской Федерации», статьей  19 Федерального закона от 23.02.2013 №15-ФЗ «</w:t>
      </w:r>
      <w:r>
        <w:rPr>
          <w:rFonts w:eastAsia="Calibri" w:ascii="Times New Roman" w:hAnsi="Times New Roman" w:eastAsiaTheme="minorHAnsi"/>
          <w:sz w:val="28"/>
          <w:szCs w:val="28"/>
          <w:lang w:eastAsia="en-US"/>
        </w:rPr>
        <w:t>Об охране здоровья граждан от воздействия окружающего табачного дыма, последствий потребления табака или потребления никотинсодержащей продукции</w:t>
      </w:r>
      <w:r>
        <w:rPr>
          <w:rFonts w:ascii="Times New Roman" w:hAnsi="Times New Roman"/>
          <w:sz w:val="28"/>
          <w:szCs w:val="28"/>
        </w:rPr>
        <w:t xml:space="preserve">», Федеральным законом от 20.03.2025  №33-ФЗ «Об общих принципах организации местного самоуправления в единой системе публичной власти», постановлением Правительства Российской Федерации от 07.09.2026 №1130 «Об утверждении Правил определения границ прилегающих территорий, на которых запрещается розничная торговля табачной продукцией или никотинсодержащей продукцией, кальянами и устройствами для потребления  никотинсодержащей продукции», на основании заключения специальной комиссии от и  протокола общественного обсуждения от , </w:t>
      </w:r>
      <w:r>
        <w:rPr>
          <w:rFonts w:ascii="Times New Roman" w:hAnsi="Times New Roman"/>
          <w:color w:val="000000"/>
          <w:sz w:val="28"/>
          <w:szCs w:val="28"/>
        </w:rPr>
        <w:t>руководствуясь статьей 40 Устава Новокузнецкого городского округа:</w:t>
      </w:r>
    </w:p>
    <w:p>
      <w:pPr>
        <w:pStyle w:val="ConsPlusTitle"/>
        <w:ind w:firstLine="709"/>
        <w:jc w:val="both"/>
        <w:rPr>
          <w:rFonts w:ascii="Times New Roman" w:hAnsi="Times New Roman" w:eastAsia="Calibri" w:eastAsiaTheme="minorHAnsi"/>
          <w:b w:val="false"/>
          <w:bCs w:val="false"/>
          <w:sz w:val="28"/>
          <w:szCs w:val="28"/>
          <w:lang w:eastAsia="en-US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  <w:t xml:space="preserve">1. </w:t>
      </w: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</w:rPr>
        <w:t>Установить границы территорий,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 </w:t>
      </w: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</w:rPr>
        <w:t>прилегающих</w:t>
      </w:r>
      <w:r>
        <w:rPr>
          <w:rFonts w:eastAsia="Calibri" w:ascii="Times New Roman" w:hAnsi="Times New Roman" w:eastAsiaTheme="minorHAnsi"/>
          <w:b w:val="false"/>
          <w:bCs w:val="false"/>
          <w:sz w:val="28"/>
          <w:szCs w:val="28"/>
          <w:lang w:eastAsia="en-US"/>
        </w:rPr>
        <w:t xml:space="preserve"> к зданиям, строениям, сооружениям, помещениям, находящимся во владении и (или) в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 и (или) организаций, осуществляющих обучение несовершеннолетних,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 на которых запрещается </w:t>
      </w:r>
      <w:r>
        <w:rPr>
          <w:rFonts w:eastAsia="Calibri" w:ascii="Times New Roman" w:hAnsi="Times New Roman" w:eastAsiaTheme="minorHAnsi"/>
          <w:b w:val="false"/>
          <w:bCs w:val="false"/>
          <w:sz w:val="28"/>
          <w:szCs w:val="28"/>
          <w:lang w:eastAsia="en-US"/>
        </w:rPr>
        <w:t>розничная торговля табачной продукцией или никотинсодержащей продукцией, кальянами, устройствами для потребления никотинсодержащей продукции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, на территории </w:t>
      </w: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</w:rPr>
        <w:t xml:space="preserve"> Новокузнецкого городского округа </w:t>
      </w:r>
      <w:r>
        <w:rPr>
          <w:rFonts w:eastAsia="Calibri" w:ascii="Times New Roman" w:hAnsi="Times New Roman" w:eastAsiaTheme="minorHAnsi"/>
          <w:b w:val="false"/>
          <w:bCs w:val="false"/>
          <w:sz w:val="28"/>
          <w:szCs w:val="28"/>
          <w:lang w:eastAsia="en-US"/>
        </w:rPr>
        <w:t>(далее - прилегающие территории)</w:t>
      </w:r>
      <w:r>
        <w:rPr>
          <w:rFonts w:cs="Times New Roman" w:ascii="Times New Roman" w:hAnsi="Times New Roman"/>
          <w:b w:val="false"/>
          <w:sz w:val="28"/>
          <w:szCs w:val="28"/>
        </w:rPr>
        <w:t xml:space="preserve"> </w:t>
      </w:r>
      <w:bookmarkStart w:id="0" w:name="Par0"/>
      <w:bookmarkEnd w:id="0"/>
      <w:r>
        <w:rPr>
          <w:rFonts w:eastAsia="Calibri" w:ascii="Times New Roman" w:hAnsi="Times New Roman" w:eastAsiaTheme="minorHAnsi"/>
          <w:b w:val="false"/>
          <w:bCs w:val="false"/>
          <w:sz w:val="28"/>
          <w:szCs w:val="28"/>
          <w:lang w:eastAsia="en-US"/>
        </w:rPr>
        <w:t>как минимальное значение расстояния</w:t>
      </w:r>
      <w:bookmarkStart w:id="1" w:name="Par3"/>
      <w:bookmarkEnd w:id="1"/>
      <w:r>
        <w:rPr>
          <w:rFonts w:eastAsia="Calibri" w:ascii="Times New Roman" w:hAnsi="Times New Roman" w:eastAsiaTheme="minorHAnsi"/>
          <w:b w:val="false"/>
          <w:bCs w:val="false"/>
          <w:sz w:val="28"/>
          <w:szCs w:val="28"/>
          <w:lang w:eastAsia="en-US"/>
        </w:rPr>
        <w:t>, составляющего 100 метров,  от зданий, строений, сооружений, помещений, находящихся во владении и (или) пользовании:</w:t>
      </w:r>
    </w:p>
    <w:p>
      <w:pPr>
        <w:pStyle w:val="ConsPlusTitle"/>
        <w:ind w:firstLine="709"/>
        <w:jc w:val="both"/>
        <w:rPr>
          <w:rFonts w:ascii="Times New Roman" w:hAnsi="Times New Roman" w:eastAsia="Calibri" w:eastAsiaTheme="minorHAnsi"/>
          <w:b w:val="false"/>
          <w:bCs w:val="false"/>
          <w:sz w:val="28"/>
          <w:szCs w:val="28"/>
          <w:lang w:eastAsia="en-US"/>
        </w:rPr>
      </w:pPr>
      <w:r>
        <w:rPr>
          <w:rFonts w:eastAsia="Calibri" w:ascii="Times New Roman" w:hAnsi="Times New Roman" w:eastAsiaTheme="minorHAnsi"/>
          <w:b w:val="false"/>
          <w:bCs w:val="false"/>
          <w:sz w:val="28"/>
          <w:szCs w:val="28"/>
          <w:lang w:eastAsia="en-US"/>
        </w:rPr>
        <w:t>- образовательных организаций (за исключением организаций дополнительного образования, организаций дополнительного профессионального образования);</w:t>
      </w:r>
    </w:p>
    <w:p>
      <w:pPr>
        <w:pStyle w:val="ConsPlusTitle"/>
        <w:ind w:firstLine="709"/>
        <w:jc w:val="both"/>
        <w:rPr>
          <w:rFonts w:ascii="Times New Roman" w:hAnsi="Times New Roman" w:eastAsia="Calibri" w:eastAsiaTheme="minorHAnsi"/>
          <w:b w:val="false"/>
          <w:bCs w:val="false"/>
          <w:sz w:val="28"/>
          <w:szCs w:val="28"/>
          <w:lang w:eastAsia="en-US"/>
        </w:rPr>
      </w:pPr>
      <w:r>
        <w:rPr>
          <w:rFonts w:eastAsia="Calibri" w:ascii="Times New Roman" w:hAnsi="Times New Roman" w:eastAsiaTheme="minorHAnsi"/>
          <w:b w:val="false"/>
          <w:bCs w:val="false"/>
          <w:sz w:val="28"/>
          <w:szCs w:val="28"/>
          <w:lang w:eastAsia="en-US"/>
        </w:rPr>
        <w:t>- организаций, осуществляющих обучение несовершеннолетних, до границ прилегающих территорий.</w:t>
      </w:r>
    </w:p>
    <w:p>
      <w:pPr>
        <w:pStyle w:val="ConsPlusTitle"/>
        <w:ind w:firstLine="709"/>
        <w:jc w:val="both"/>
        <w:rPr>
          <w:rFonts w:ascii="Times New Roman" w:hAnsi="Times New Roman" w:eastAsia="Calibri" w:eastAsiaTheme="minorHAnsi"/>
          <w:b w:val="false"/>
          <w:bCs w:val="false"/>
          <w:sz w:val="28"/>
          <w:szCs w:val="28"/>
          <w:lang w:eastAsia="en-US"/>
        </w:rPr>
      </w:pPr>
      <w:r>
        <w:rPr>
          <w:rFonts w:eastAsia="Calibri" w:ascii="Times New Roman" w:hAnsi="Times New Roman" w:eastAsiaTheme="minorHAnsi"/>
          <w:b w:val="false"/>
          <w:bCs w:val="false"/>
          <w:sz w:val="28"/>
          <w:szCs w:val="28"/>
          <w:lang w:eastAsia="en-US"/>
        </w:rPr>
        <w:t>Запрет на розничную торговлю табачной продукцией или никотинсодержащей продукцией, кальянами, устройствами для потребления никотинсодержащей продукции действует в отношении территорий, прилегающих к указанным в настоящем пункте зданиям, строениям, сооружениям, помещениям, в которых непосредственно осуществляются соответствующие виды деятельности.</w:t>
      </w:r>
    </w:p>
    <w:p>
      <w:pPr>
        <w:pStyle w:val="ConsPlusTitle"/>
        <w:ind w:firstLine="709"/>
        <w:jc w:val="both"/>
        <w:rPr>
          <w:rFonts w:ascii="Times New Roman" w:hAnsi="Times New Roman" w:eastAsia="Calibri" w:eastAsiaTheme="minorHAnsi"/>
          <w:b w:val="false"/>
          <w:bCs w:val="false"/>
          <w:sz w:val="28"/>
          <w:szCs w:val="28"/>
          <w:lang w:eastAsia="en-US"/>
        </w:rPr>
      </w:pPr>
      <w:bookmarkStart w:id="2" w:name="Par17"/>
      <w:bookmarkEnd w:id="2"/>
      <w:r>
        <w:rPr>
          <w:rFonts w:eastAsia="Calibri" w:ascii="Times New Roman" w:hAnsi="Times New Roman" w:eastAsiaTheme="minorHAnsi"/>
          <w:b w:val="false"/>
          <w:bCs w:val="false"/>
          <w:sz w:val="28"/>
          <w:szCs w:val="28"/>
          <w:lang w:eastAsia="en-US"/>
        </w:rPr>
        <w:t>2. Определить следующий способ расчета расстояния от зданий, строений, сооружений, помещений, указанных в пункте 1 настоящего  постановления, до границ прилегающих территорий:</w:t>
      </w:r>
    </w:p>
    <w:p>
      <w:pPr>
        <w:pStyle w:val="ConsPlusTitle"/>
        <w:ind w:firstLine="709"/>
        <w:jc w:val="both"/>
        <w:rPr>
          <w:rFonts w:ascii="Times New Roman" w:hAnsi="Times New Roman" w:eastAsia="Calibri" w:eastAsiaTheme="minorHAnsi"/>
          <w:b w:val="false"/>
          <w:bCs w:val="false"/>
          <w:sz w:val="28"/>
          <w:szCs w:val="28"/>
          <w:lang w:eastAsia="en-US"/>
        </w:rPr>
      </w:pPr>
      <w:r>
        <w:rPr>
          <w:rFonts w:eastAsia="Calibri" w:ascii="Times New Roman" w:hAnsi="Times New Roman" w:eastAsiaTheme="minorHAnsi"/>
          <w:b w:val="false"/>
          <w:bCs w:val="false"/>
          <w:sz w:val="28"/>
          <w:szCs w:val="28"/>
          <w:lang w:eastAsia="en-US"/>
        </w:rPr>
        <w:t>- при наличии обособленной территории - от ближайшей точки, граничащей с обособленной территорией соответствующих зданий, строений, сооружений, помещений, по прямой линии без учета искусственных и естественных преград до входа для посетителей в  торговый объект, в котором осуществляется  розничная торговля табачной продукцией или никотинсодержащей продукцией, кальянами, устройствами для потребления никотинсодержащей продукции;</w:t>
      </w:r>
    </w:p>
    <w:p>
      <w:pPr>
        <w:pStyle w:val="ConsPlusTitle"/>
        <w:ind w:firstLine="709"/>
        <w:jc w:val="both"/>
        <w:rPr>
          <w:rFonts w:ascii="Times New Roman" w:hAnsi="Times New Roman" w:eastAsia="Calibri" w:eastAsiaTheme="minorHAnsi"/>
          <w:b w:val="false"/>
          <w:bCs w:val="false"/>
          <w:sz w:val="28"/>
          <w:szCs w:val="28"/>
          <w:lang w:eastAsia="en-US"/>
        </w:rPr>
      </w:pPr>
      <w:r>
        <w:rPr>
          <w:rFonts w:eastAsia="Calibri" w:ascii="Times New Roman" w:hAnsi="Times New Roman" w:eastAsiaTheme="minorHAnsi"/>
          <w:b w:val="false"/>
          <w:bCs w:val="false"/>
          <w:sz w:val="28"/>
          <w:szCs w:val="28"/>
          <w:lang w:eastAsia="en-US"/>
        </w:rPr>
        <w:t>- при отсутствии обособленной территории - от входа для посетителей в соответствующие здания, строения, сооружения, помещения по прямой линии без учета искусственных и естественных преград до входа для посетителей в торговый объект, в котором осуществляется розничная торговля табачной продукцией или никотинсодержащей продукцией, кальянами, устройствами для потребления никотинсодержащей продукции.</w:t>
      </w:r>
    </w:p>
    <w:p>
      <w:pPr>
        <w:pStyle w:val="Normal"/>
        <w:overflowPunct w:val="false"/>
        <w:ind w:firstLine="540"/>
        <w:jc w:val="both"/>
        <w:textAlignment w:val="auto"/>
        <w:rPr>
          <w:rFonts w:ascii="Times New Roman" w:hAnsi="Times New Roman" w:eastAsia="Calibri" w:eastAsiaTheme="minorHAnsi"/>
          <w:sz w:val="28"/>
          <w:szCs w:val="28"/>
          <w:lang w:eastAsia="en-US"/>
        </w:rPr>
      </w:pPr>
      <w:r>
        <w:rPr>
          <w:rFonts w:eastAsia="Calibri" w:ascii="Times New Roman" w:hAnsi="Times New Roman" w:eastAsiaTheme="minorHAnsi"/>
          <w:bCs/>
          <w:sz w:val="28"/>
          <w:szCs w:val="28"/>
          <w:lang w:eastAsia="en-US"/>
        </w:rPr>
        <w:t xml:space="preserve">3. </w:t>
      </w:r>
      <w:r>
        <w:rPr>
          <w:rFonts w:eastAsia="Calibri" w:ascii="Times New Roman" w:hAnsi="Times New Roman" w:eastAsiaTheme="minorHAnsi"/>
          <w:sz w:val="28"/>
          <w:szCs w:val="28"/>
          <w:lang w:eastAsia="en-US"/>
        </w:rPr>
        <w:t>Управлению потребительского рынка и развития предпринимательства администрации города Новокузнецка:</w:t>
      </w:r>
    </w:p>
    <w:p>
      <w:pPr>
        <w:pStyle w:val="Normal"/>
        <w:overflowPunct w:val="false"/>
        <w:ind w:firstLine="540"/>
        <w:jc w:val="both"/>
        <w:textAlignment w:val="auto"/>
        <w:rPr>
          <w:rFonts w:ascii="Times New Roman" w:hAnsi="Times New Roman" w:eastAsia="Calibri" w:eastAsiaTheme="minorHAnsi"/>
          <w:sz w:val="28"/>
          <w:szCs w:val="28"/>
          <w:lang w:eastAsia="en-US"/>
        </w:rPr>
      </w:pPr>
      <w:r>
        <w:rPr>
          <w:rFonts w:eastAsia="Calibri" w:ascii="Times New Roman" w:hAnsi="Times New Roman" w:eastAsiaTheme="minorHAnsi"/>
          <w:sz w:val="28"/>
          <w:szCs w:val="28"/>
          <w:lang w:eastAsia="en-US"/>
        </w:rPr>
        <w:t>- не позднее 15 календарных дней со дня принятия настоящего постановления направить его копии в Министерство промышленности и торговли Кузбасса и в Управление Федеральной службы по надзору в сфере защиты прав потребителей и благополучия человека по Кемеровской области-Кузбассу;</w:t>
      </w:r>
    </w:p>
    <w:p>
      <w:pPr>
        <w:pStyle w:val="Normal"/>
        <w:overflowPunct w:val="false"/>
        <w:ind w:firstLine="540"/>
        <w:jc w:val="both"/>
        <w:textAlignment w:val="auto"/>
        <w:rPr>
          <w:rFonts w:ascii="Times New Roman" w:hAnsi="Times New Roman" w:eastAsia="Calibri" w:eastAsiaTheme="minorHAnsi"/>
          <w:sz w:val="28"/>
          <w:szCs w:val="28"/>
          <w:lang w:eastAsia="en-US"/>
        </w:rPr>
      </w:pPr>
      <w:r>
        <w:rPr>
          <w:rFonts w:eastAsia="Calibri" w:ascii="Times New Roman" w:hAnsi="Times New Roman" w:eastAsiaTheme="minorHAnsi"/>
          <w:sz w:val="28"/>
          <w:szCs w:val="28"/>
          <w:lang w:eastAsia="en-US"/>
        </w:rPr>
        <w:t xml:space="preserve">- проинформировать об установлении границ прилегающих  территорий согласно настоящему постановлению организации и индивидуальных предпринимателей, осуществляющих розничную торговлю табачной продукцией или никотинсодержащей продукцией, кальянами, устройствами для потребления никотинсодержащей продукции на территории Новокузнецкого городского округа, в установленном порядке.  </w:t>
      </w:r>
    </w:p>
    <w:p>
      <w:pPr>
        <w:pStyle w:val="Normal"/>
        <w:overflowPunct w:val="false"/>
        <w:ind w:firstLine="540"/>
        <w:jc w:val="both"/>
        <w:textAlignment w:val="auto"/>
        <w:rPr>
          <w:rFonts w:ascii="Times New Roman" w:hAnsi="Times New Roman" w:eastAsia="Calibri" w:eastAsiaTheme="minorHAnsi"/>
          <w:sz w:val="28"/>
          <w:szCs w:val="28"/>
          <w:lang w:eastAsia="en-US"/>
        </w:rPr>
      </w:pPr>
      <w:r>
        <w:rPr>
          <w:rFonts w:eastAsia="Calibri" w:ascii="Times New Roman" w:hAnsi="Times New Roman" w:eastAsiaTheme="minorHAnsi"/>
          <w:sz w:val="28"/>
          <w:szCs w:val="28"/>
          <w:lang w:eastAsia="en-US"/>
        </w:rPr>
        <w:t>4. Настоящее постановление вступает в силу после его официального опубликования.</w:t>
      </w:r>
    </w:p>
    <w:p>
      <w:pPr>
        <w:pStyle w:val="Normal"/>
        <w:overflowPunct w:val="false"/>
        <w:ind w:firstLine="540"/>
        <w:jc w:val="both"/>
        <w:textAlignment w:val="auto"/>
        <w:rPr>
          <w:rFonts w:ascii="Times New Roman" w:hAnsi="Times New Roman" w:eastAsia="Calibri" w:eastAsiaTheme="minorHAnsi"/>
          <w:sz w:val="28"/>
          <w:szCs w:val="28"/>
          <w:lang w:eastAsia="en-US"/>
        </w:rPr>
      </w:pPr>
      <w:r>
        <w:rPr>
          <w:rFonts w:eastAsia="Calibri" w:ascii="Times New Roman" w:hAnsi="Times New Roman" w:eastAsiaTheme="minorHAnsi"/>
          <w:sz w:val="28"/>
          <w:szCs w:val="28"/>
          <w:lang w:eastAsia="en-US"/>
        </w:rPr>
        <w:t xml:space="preserve">5. Управлению информационной политики и социальных коммуникаций  администрации города Новокузнецка обеспечить официальное опубликование настоящего постановления. </w:t>
      </w:r>
    </w:p>
    <w:p>
      <w:pPr>
        <w:pStyle w:val="Normal"/>
        <w:overflowPunct w:val="false"/>
        <w:ind w:firstLine="540"/>
        <w:jc w:val="both"/>
        <w:textAlignment w:val="auto"/>
        <w:rPr>
          <w:rFonts w:ascii="Times New Roman" w:hAnsi="Times New Roman" w:eastAsia="Calibri" w:eastAsiaTheme="minorHAnsi"/>
          <w:sz w:val="28"/>
          <w:szCs w:val="28"/>
          <w:lang w:eastAsia="en-US"/>
        </w:rPr>
      </w:pPr>
      <w:r>
        <w:rPr>
          <w:rFonts w:eastAsia="Calibri" w:ascii="Times New Roman" w:hAnsi="Times New Roman" w:eastAsiaTheme="minorHAnsi"/>
          <w:sz w:val="28"/>
          <w:szCs w:val="28"/>
          <w:lang w:eastAsia="en-US"/>
        </w:rPr>
        <w:t xml:space="preserve">6. Контроль за исполнением настоящего постановления возложить на заместителя Главы города по экономическим вопросам. </w:t>
      </w:r>
    </w:p>
    <w:p>
      <w:pPr>
        <w:pStyle w:val="Normal"/>
        <w:overflowPunct w:val="false"/>
        <w:ind w:firstLine="540"/>
        <w:jc w:val="both"/>
        <w:textAlignment w:val="auto"/>
        <w:rPr>
          <w:rFonts w:ascii="Times New Roman" w:hAnsi="Times New Roman" w:eastAsia="Calibri" w:eastAsiaTheme="minorHAnsi"/>
          <w:sz w:val="28"/>
          <w:szCs w:val="28"/>
          <w:lang w:eastAsia="en-US"/>
        </w:rPr>
      </w:pPr>
      <w:r>
        <w:rPr>
          <w:rFonts w:eastAsia="Calibri" w:eastAsiaTheme="minorHAnsi" w:ascii="Times New Roman" w:hAnsi="Times New Roman"/>
          <w:sz w:val="28"/>
          <w:szCs w:val="28"/>
          <w:lang w:eastAsia="en-US"/>
        </w:rPr>
      </w:r>
    </w:p>
    <w:p>
      <w:pPr>
        <w:pStyle w:val="Normal"/>
        <w:overflowPunct w:val="false"/>
        <w:ind w:firstLine="540"/>
        <w:jc w:val="both"/>
        <w:textAlignment w:val="auto"/>
        <w:rPr>
          <w:rFonts w:ascii="Times New Roman" w:hAnsi="Times New Roman" w:eastAsia="Calibri" w:eastAsiaTheme="minorHAnsi"/>
          <w:sz w:val="28"/>
          <w:szCs w:val="28"/>
          <w:lang w:eastAsia="en-US"/>
        </w:rPr>
      </w:pPr>
      <w:r>
        <w:rPr>
          <w:rFonts w:eastAsia="Calibri" w:eastAsiaTheme="minorHAnsi" w:ascii="Times New Roman" w:hAnsi="Times New Roman"/>
          <w:sz w:val="28"/>
          <w:szCs w:val="28"/>
          <w:lang w:eastAsia="en-US"/>
        </w:rPr>
      </w:r>
    </w:p>
    <w:p>
      <w:pPr>
        <w:pStyle w:val="Normal"/>
        <w:overflowPunct w:val="false"/>
        <w:ind w:firstLine="540"/>
        <w:jc w:val="both"/>
        <w:textAlignment w:val="auto"/>
        <w:rPr>
          <w:rFonts w:ascii="Times New Roman" w:hAnsi="Times New Roman" w:eastAsia="Calibri" w:eastAsiaTheme="minorHAnsi"/>
          <w:sz w:val="28"/>
          <w:szCs w:val="28"/>
          <w:lang w:eastAsia="en-US"/>
        </w:rPr>
      </w:pPr>
      <w:r>
        <w:rPr>
          <w:rFonts w:eastAsia="Calibri" w:eastAsiaTheme="minorHAnsi" w:ascii="Times New Roman" w:hAnsi="Times New Roman"/>
          <w:sz w:val="28"/>
          <w:szCs w:val="28"/>
          <w:lang w:eastAsia="en-US"/>
        </w:rPr>
      </w:r>
    </w:p>
    <w:p>
      <w:pPr>
        <w:pStyle w:val="Normal"/>
        <w:overflowPunct w:val="false"/>
        <w:ind w:firstLine="540"/>
        <w:jc w:val="both"/>
        <w:textAlignment w:val="auto"/>
        <w:rPr>
          <w:rFonts w:ascii="Times New Roman" w:hAnsi="Times New Roman" w:eastAsia="Calibri" w:eastAsiaTheme="minorHAnsi"/>
          <w:sz w:val="28"/>
          <w:szCs w:val="28"/>
          <w:lang w:eastAsia="en-US"/>
        </w:rPr>
      </w:pPr>
      <w:r>
        <w:rPr>
          <w:rFonts w:eastAsia="Calibri" w:eastAsiaTheme="minorHAnsi" w:ascii="Times New Roman" w:hAnsi="Times New Roman"/>
          <w:sz w:val="28"/>
          <w:szCs w:val="28"/>
          <w:lang w:eastAsia="en-US"/>
        </w:rPr>
      </w:r>
    </w:p>
    <w:p>
      <w:pPr>
        <w:pStyle w:val="Normal"/>
        <w:overflowPunct w:val="false"/>
        <w:jc w:val="both"/>
        <w:textAlignment w:val="auto"/>
        <w:rPr>
          <w:rFonts w:ascii="Times New Roman" w:hAnsi="Times New Roman" w:eastAsia="Calibri" w:eastAsiaTheme="minorHAnsi"/>
          <w:sz w:val="28"/>
          <w:szCs w:val="28"/>
          <w:lang w:eastAsia="en-US"/>
        </w:rPr>
      </w:pPr>
      <w:r>
        <w:rPr>
          <w:rFonts w:eastAsia="Calibri" w:ascii="Times New Roman" w:hAnsi="Times New Roman" w:eastAsiaTheme="minorHAnsi"/>
          <w:sz w:val="28"/>
          <w:szCs w:val="28"/>
          <w:lang w:eastAsia="en-US"/>
        </w:rPr>
        <w:t>Глава города                                                                                         Д.П. Ильин</w:t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701" w:right="850" w:gutter="0" w:header="708" w:top="1134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SchoolBook">
    <w:charset w:val="01"/>
    <w:family w:val="roman"/>
    <w:pitch w:val="default"/>
  </w:font>
  <w:font w:name="Times New Roman CYR">
    <w:charset w:val="01"/>
    <w:family w:val="roman"/>
    <w:pitch w:val="default"/>
  </w:font>
  <w:font w:name="Tahoma">
    <w:charset w:val="01"/>
    <w:family w:val="swiss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Calibri">
    <w:charset w:val="01"/>
    <w:family w:val="swiss"/>
    <w:pitch w:val="default"/>
  </w:font>
  <w:font w:name="Arial">
    <w:charset w:val="01"/>
    <w:family w:val="swiss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28930230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3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0751a"/>
    <w:pPr>
      <w:widowControl/>
      <w:overflowPunct w:val="true"/>
      <w:bidi w:val="0"/>
      <w:spacing w:lineRule="auto" w:line="240" w:before="0" w:after="0"/>
      <w:jc w:val="left"/>
      <w:textAlignment w:val="baseline"/>
    </w:pPr>
    <w:rPr>
      <w:rFonts w:ascii="SchoolBook" w:hAnsi="SchoolBook" w:eastAsia="Times New Roman" w:cs="Times New Roman"/>
      <w:color w:val="auto"/>
      <w:kern w:val="0"/>
      <w:sz w:val="24"/>
      <w:szCs w:val="20"/>
      <w:lang w:eastAsia="ru-RU" w:val="ru-RU" w:bidi="ar-SA"/>
    </w:rPr>
  </w:style>
  <w:style w:type="paragraph" w:styleId="Heading1">
    <w:name w:val="heading 1"/>
    <w:basedOn w:val="Normal"/>
    <w:next w:val="Normal"/>
    <w:link w:val="1"/>
    <w:uiPriority w:val="99"/>
    <w:qFormat/>
    <w:rsid w:val="0060751a"/>
    <w:pPr>
      <w:widowControl w:val="false"/>
      <w:overflowPunct w:val="false"/>
      <w:spacing w:before="108" w:after="108"/>
      <w:jc w:val="center"/>
      <w:textAlignment w:val="auto"/>
      <w:outlineLvl w:val="0"/>
    </w:pPr>
    <w:rPr>
      <w:rFonts w:ascii="Times New Roman CYR" w:hAnsi="Times New Roman CYR" w:eastAsia="" w:cs="Times New Roman CYR" w:eastAsiaTheme="minorEastAsia"/>
      <w:b/>
      <w:bCs/>
      <w:color w:val="26282F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9"/>
    <w:qFormat/>
    <w:rsid w:val="0060751a"/>
    <w:rPr>
      <w:rFonts w:ascii="Times New Roman CYR" w:hAnsi="Times New Roman CYR" w:eastAsia="" w:cs="Times New Roman CYR" w:eastAsiaTheme="minorEastAsia"/>
      <w:b/>
      <w:bCs/>
      <w:color w:val="26282F"/>
      <w:sz w:val="24"/>
      <w:szCs w:val="24"/>
      <w:lang w:eastAsia="ru-RU"/>
    </w:rPr>
  </w:style>
  <w:style w:type="character" w:styleId="Style13" w:customStyle="1">
    <w:name w:val="Текст выноски Знак"/>
    <w:basedOn w:val="DefaultParagraphFont"/>
    <w:link w:val="BalloonText"/>
    <w:uiPriority w:val="99"/>
    <w:semiHidden/>
    <w:qFormat/>
    <w:rsid w:val="0060751a"/>
    <w:rPr>
      <w:rFonts w:ascii="Tahoma" w:hAnsi="Tahoma" w:eastAsia="Times New Roman" w:cs="Tahoma"/>
      <w:sz w:val="16"/>
      <w:szCs w:val="16"/>
      <w:lang w:eastAsia="ru-RU"/>
    </w:rPr>
  </w:style>
  <w:style w:type="character" w:styleId="Style14" w:customStyle="1">
    <w:name w:val="Верхний колонтитул Знак"/>
    <w:basedOn w:val="DefaultParagraphFont"/>
    <w:uiPriority w:val="99"/>
    <w:qFormat/>
    <w:rsid w:val="000d4b69"/>
    <w:rPr>
      <w:rFonts w:ascii="SchoolBook" w:hAnsi="SchoolBook" w:eastAsia="Times New Roman" w:cs="Times New Roman"/>
      <w:sz w:val="24"/>
      <w:szCs w:val="20"/>
      <w:lang w:eastAsia="ru-RU"/>
    </w:rPr>
  </w:style>
  <w:style w:type="character" w:styleId="Style15" w:customStyle="1">
    <w:name w:val="Нижний колонтитул Знак"/>
    <w:basedOn w:val="DefaultParagraphFont"/>
    <w:uiPriority w:val="99"/>
    <w:semiHidden/>
    <w:qFormat/>
    <w:rsid w:val="000d4b69"/>
    <w:rPr>
      <w:rFonts w:ascii="SchoolBook" w:hAnsi="SchoolBook" w:eastAsia="Times New Roman" w:cs="Times New Roman"/>
      <w:sz w:val="24"/>
      <w:szCs w:val="20"/>
      <w:lang w:eastAsia="ru-RU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NormalWeb">
    <w:name w:val="Normal (Web)"/>
    <w:basedOn w:val="Normal"/>
    <w:qFormat/>
    <w:rsid w:val="0060751a"/>
    <w:pPr>
      <w:overflowPunct w:val="false"/>
      <w:spacing w:beforeAutospacing="1" w:afterAutospacing="1"/>
      <w:textAlignment w:val="auto"/>
    </w:pPr>
    <w:rPr>
      <w:rFonts w:ascii="Times New Roman" w:hAnsi="Times New Roman"/>
      <w:szCs w:val="24"/>
    </w:rPr>
  </w:style>
  <w:style w:type="paragraph" w:styleId="ConsPlusNormal" w:customStyle="1">
    <w:name w:val="ConsPlusNormal"/>
    <w:qFormat/>
    <w:rsid w:val="0060751a"/>
    <w:pPr>
      <w:widowControl w:val="fals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0"/>
      <w:lang w:eastAsia="ru-RU" w:val="ru-RU" w:bidi="ar-SA"/>
    </w:rPr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60751a"/>
    <w:pPr/>
    <w:rPr>
      <w:rFonts w:ascii="Tahoma" w:hAnsi="Tahoma" w:cs="Tahoma"/>
      <w:sz w:val="16"/>
      <w:szCs w:val="16"/>
    </w:rPr>
  </w:style>
  <w:style w:type="paragraph" w:styleId="ConsPlusTitle" w:customStyle="1">
    <w:name w:val="ConsPlusTitle"/>
    <w:qFormat/>
    <w:rsid w:val="0060751a"/>
    <w:pPr>
      <w:widowControl w:val="false"/>
      <w:bidi w:val="0"/>
      <w:spacing w:lineRule="auto" w:line="240" w:before="0" w:after="0"/>
      <w:jc w:val="left"/>
    </w:pPr>
    <w:rPr>
      <w:rFonts w:ascii="Arial" w:hAnsi="Arial" w:eastAsia="Times New Roman" w:cs="Arial"/>
      <w:b/>
      <w:bCs/>
      <w:color w:val="auto"/>
      <w:kern w:val="0"/>
      <w:sz w:val="20"/>
      <w:szCs w:val="20"/>
      <w:lang w:eastAsia="ru-RU" w:val="ru-RU" w:bidi="ar-SA"/>
    </w:rPr>
  </w:style>
  <w:style w:type="paragraph" w:styleId="Style18">
    <w:name w:val="Колонтитулы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0d4b6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5"/>
    <w:uiPriority w:val="99"/>
    <w:semiHidden/>
    <w:unhideWhenUsed/>
    <w:rsid w:val="000d4b69"/>
    <w:pPr>
      <w:tabs>
        <w:tab w:val="clear" w:pos="708"/>
        <w:tab w:val="center" w:pos="4677" w:leader="none"/>
        <w:tab w:val="right" w:pos="9355" w:leader="none"/>
      </w:tabs>
    </w:pPr>
    <w:rPr/>
  </w:style>
  <w:style w:type="numbering" w:styleId="Style19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LibreOffice/25.2.6.2$Linux_X86_64 LibreOffice_project/520$Build-2</Application>
  <AppVersion>15.0000</AppVersion>
  <Pages>3</Pages>
  <Words>528</Words>
  <Characters>4286</Characters>
  <CharactersWithSpaces>4908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2026-09-17T05:03:00Z</dcterms:created>
  <dc:creator>user</dc:creator>
  <dc:description/>
  <dc:language>ru-RU</dc:language>
  <cp:lastModifiedBy>loseva1913@outlook.com</cp:lastModifiedBy>
  <cp:lastPrinted>2022-11-18T04:04:00Z</cp:lastPrinted>
  <dcterms:modified xsi:type="dcterms:W3CDTF">2026-09-17T05:03:00Z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